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7B003356"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sidR="00890C88">
        <w:rPr>
          <w:rFonts w:ascii="Arial" w:eastAsia="Arial Unicode MS" w:hAnsi="Arial" w:cs="Arial"/>
          <w:b/>
          <w:bCs/>
          <w:i/>
          <w:sz w:val="28"/>
        </w:rPr>
        <w:t>5</w:t>
      </w:r>
      <w:r w:rsidR="00C13DBF">
        <w:rPr>
          <w:rFonts w:ascii="Arial" w:eastAsia="Arial Unicode MS" w:hAnsi="Arial" w:cs="Arial"/>
          <w:b/>
          <w:bCs/>
          <w:i/>
          <w:sz w:val="28"/>
        </w:rPr>
        <w:t>07168</w:t>
      </w:r>
    </w:p>
    <w:p w14:paraId="7EB5C9AE" w14:textId="710458DA" w:rsidR="00A24F28" w:rsidRPr="00927C1B" w:rsidRDefault="00890C8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90C88">
        <w:rPr>
          <w:rFonts w:ascii="Arial" w:eastAsia="Arial Unicode MS" w:hAnsi="Arial" w:cs="Arial"/>
          <w:b/>
          <w:bCs/>
          <w:sz w:val="24"/>
        </w:rPr>
        <w:t>Goteborg</w:t>
      </w:r>
      <w:r w:rsidR="00B84897" w:rsidRPr="00BC68AD">
        <w:rPr>
          <w:rFonts w:ascii="Arial" w:eastAsia="Arial Unicode MS" w:hAnsi="Arial" w:cs="Arial"/>
          <w:b/>
          <w:bCs/>
          <w:sz w:val="24"/>
        </w:rPr>
        <w:t xml:space="preserve">, </w:t>
      </w:r>
      <w:r>
        <w:rPr>
          <w:rFonts w:ascii="Arial" w:eastAsia="Arial Unicode MS" w:hAnsi="Arial" w:cs="Arial"/>
          <w:b/>
          <w:bCs/>
          <w:sz w:val="24"/>
        </w:rPr>
        <w:t>Sweden</w:t>
      </w:r>
      <w:r w:rsidR="00B84897" w:rsidRPr="00BC68AD">
        <w:rPr>
          <w:rFonts w:ascii="Arial" w:eastAsia="Arial Unicode MS" w:hAnsi="Arial" w:cs="Arial"/>
          <w:b/>
          <w:bCs/>
          <w:sz w:val="24"/>
        </w:rPr>
        <w:t xml:space="preserve">, </w:t>
      </w:r>
      <w:r>
        <w:rPr>
          <w:rFonts w:ascii="Arial" w:eastAsia="Arial Unicode MS" w:hAnsi="Arial" w:cs="Arial"/>
          <w:b/>
          <w:bCs/>
          <w:sz w:val="24"/>
        </w:rPr>
        <w:t>Aug</w:t>
      </w:r>
      <w:r w:rsidR="00B84897" w:rsidRPr="00BC68AD">
        <w:rPr>
          <w:rFonts w:ascii="Arial" w:eastAsia="Arial Unicode MS" w:hAnsi="Arial" w:cs="Arial"/>
          <w:b/>
          <w:bCs/>
          <w:sz w:val="24"/>
        </w:rPr>
        <w:t xml:space="preserve"> </w:t>
      </w:r>
      <w:r>
        <w:rPr>
          <w:rFonts w:ascii="Arial" w:eastAsia="Arial Unicode MS" w:hAnsi="Arial" w:cs="Arial"/>
          <w:b/>
          <w:bCs/>
          <w:sz w:val="24"/>
        </w:rPr>
        <w:t>25</w:t>
      </w:r>
      <w:r w:rsidR="00B84897" w:rsidRPr="00BC68AD">
        <w:rPr>
          <w:rFonts w:ascii="Arial" w:eastAsia="Arial Unicode MS" w:hAnsi="Arial" w:cs="Arial"/>
          <w:b/>
          <w:bCs/>
          <w:sz w:val="24"/>
          <w:vertAlign w:val="superscript"/>
        </w:rPr>
        <w:t>th</w:t>
      </w:r>
      <w:r w:rsidR="00B84897" w:rsidRPr="00BC68AD">
        <w:rPr>
          <w:rFonts w:ascii="Arial" w:eastAsia="Arial Unicode MS" w:hAnsi="Arial" w:cs="Arial"/>
          <w:b/>
          <w:bCs/>
          <w:sz w:val="24"/>
        </w:rPr>
        <w:t xml:space="preserve"> – </w:t>
      </w:r>
      <w:r>
        <w:rPr>
          <w:rFonts w:ascii="Arial" w:eastAsia="Arial Unicode MS" w:hAnsi="Arial" w:cs="Arial"/>
          <w:b/>
          <w:bCs/>
          <w:sz w:val="24"/>
        </w:rPr>
        <w:t>29</w:t>
      </w:r>
      <w:r w:rsidR="006302C0" w:rsidRPr="006302C0">
        <w:rPr>
          <w:rFonts w:ascii="Arial" w:eastAsia="Arial Unicode MS" w:hAnsi="Arial" w:cs="Arial"/>
          <w:b/>
          <w:bCs/>
          <w:sz w:val="24"/>
          <w:vertAlign w:val="superscript"/>
        </w:rPr>
        <w:t>th</w:t>
      </w:r>
      <w:r w:rsidR="00B84897" w:rsidRPr="009B64E4">
        <w:rPr>
          <w:rFonts w:ascii="Arial" w:eastAsia="Arial Unicode MS" w:hAnsi="Arial" w:cs="Arial"/>
          <w:b/>
          <w:bCs/>
          <w:sz w:val="24"/>
        </w:rPr>
        <w:t>, 202</w:t>
      </w:r>
      <w:r>
        <w:rPr>
          <w:rFonts w:ascii="Arial" w:eastAsia="Arial Unicode MS" w:hAnsi="Arial" w:cs="Arial"/>
          <w:b/>
          <w:bCs/>
          <w:sz w:val="24"/>
        </w:rPr>
        <w:t>5</w:t>
      </w:r>
    </w:p>
    <w:p w14:paraId="1F071D70" w14:textId="77777777" w:rsidR="00A24F28" w:rsidRPr="00880B08" w:rsidRDefault="00A24F28" w:rsidP="00A24F28">
      <w:pPr>
        <w:rPr>
          <w:rFonts w:ascii="Arial" w:hAnsi="Arial" w:cs="Arial"/>
        </w:rPr>
      </w:pPr>
    </w:p>
    <w:p w14:paraId="6F0103AA" w14:textId="07AD4314" w:rsidR="00A24F28" w:rsidRPr="00A74D69" w:rsidRDefault="00A24F28" w:rsidP="00A24F28">
      <w:pPr>
        <w:ind w:left="2127" w:hanging="2127"/>
        <w:rPr>
          <w:rFonts w:ascii="Arial" w:hAnsi="Arial" w:cs="Arial"/>
          <w:b/>
        </w:rPr>
      </w:pPr>
      <w:r w:rsidRPr="00A74D69">
        <w:rPr>
          <w:rFonts w:ascii="Arial" w:hAnsi="Arial" w:cs="Arial"/>
          <w:b/>
        </w:rPr>
        <w:t>Source:</w:t>
      </w:r>
      <w:r w:rsidRPr="00A74D69">
        <w:rPr>
          <w:rFonts w:ascii="Arial" w:hAnsi="Arial" w:cs="Arial"/>
          <w:b/>
        </w:rPr>
        <w:tab/>
      </w:r>
      <w:r w:rsidR="006302C0" w:rsidRPr="00A74D69">
        <w:rPr>
          <w:rFonts w:ascii="Arial" w:hAnsi="Arial" w:cs="Arial"/>
          <w:b/>
        </w:rPr>
        <w:t>NTT DOCOMO</w:t>
      </w:r>
      <w:r w:rsidR="00A74D69" w:rsidRPr="00A74D69">
        <w:rPr>
          <w:rFonts w:ascii="Arial" w:hAnsi="Arial" w:cs="Arial"/>
          <w:b/>
        </w:rPr>
        <w:t>, Media</w:t>
      </w:r>
      <w:r w:rsidR="00A74D69">
        <w:rPr>
          <w:rFonts w:ascii="Arial" w:hAnsi="Arial" w:cs="Arial"/>
          <w:b/>
        </w:rPr>
        <w:t>T</w:t>
      </w:r>
      <w:r w:rsidR="00A74D69" w:rsidRPr="00A74D69">
        <w:rPr>
          <w:rFonts w:ascii="Arial" w:hAnsi="Arial" w:cs="Arial"/>
          <w:b/>
        </w:rPr>
        <w:t>ek</w:t>
      </w:r>
      <w:r w:rsidR="00A74D69">
        <w:rPr>
          <w:rFonts w:ascii="Arial" w:hAnsi="Arial" w:cs="Arial"/>
          <w:b/>
        </w:rPr>
        <w:t xml:space="preserve"> Inc.</w:t>
      </w:r>
      <w:r w:rsidR="00A74D69" w:rsidRPr="00A74D69">
        <w:rPr>
          <w:rFonts w:ascii="Arial" w:hAnsi="Arial" w:cs="Arial"/>
          <w:b/>
        </w:rPr>
        <w:t>, Deutsche Tele</w:t>
      </w:r>
      <w:r w:rsidR="00A74D69">
        <w:rPr>
          <w:rFonts w:ascii="Arial" w:hAnsi="Arial" w:cs="Arial"/>
          <w:b/>
        </w:rPr>
        <w:t>k</w:t>
      </w:r>
      <w:r w:rsidR="00A74D69" w:rsidRPr="00A74D69">
        <w:rPr>
          <w:rFonts w:ascii="Arial" w:hAnsi="Arial" w:cs="Arial"/>
          <w:b/>
        </w:rPr>
        <w:t>om</w:t>
      </w:r>
    </w:p>
    <w:p w14:paraId="14F67085" w14:textId="5FCF6934"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bookmarkStart w:id="0" w:name="_Hlk177970091"/>
      <w:r w:rsidR="00890C88">
        <w:rPr>
          <w:rFonts w:ascii="Arial" w:hAnsi="Arial" w:cs="Arial"/>
          <w:b/>
        </w:rPr>
        <w:t>UE as a sensing service consumer</w:t>
      </w:r>
      <w:r w:rsidR="00DA52AA">
        <w:rPr>
          <w:rFonts w:ascii="Arial" w:hAnsi="Arial" w:cs="Arial"/>
          <w:b/>
        </w:rPr>
        <w:t xml:space="preserve"> </w:t>
      </w:r>
      <w:bookmarkEnd w:id="0"/>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30CF8EC8"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90C88">
        <w:rPr>
          <w:rFonts w:ascii="Arial" w:hAnsi="Arial" w:cs="Arial"/>
          <w:b/>
        </w:rPr>
        <w:t>2</w:t>
      </w:r>
      <w:r w:rsidR="004438FD">
        <w:rPr>
          <w:rFonts w:ascii="Arial" w:hAnsi="Arial" w:cs="Arial"/>
          <w:b/>
        </w:rPr>
        <w:t>.</w:t>
      </w:r>
      <w:r w:rsidR="00890C88">
        <w:rPr>
          <w:rFonts w:ascii="Arial" w:hAnsi="Arial" w:cs="Arial"/>
          <w:b/>
        </w:rPr>
        <w:t>1</w:t>
      </w:r>
    </w:p>
    <w:p w14:paraId="2B796C64" w14:textId="42E674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890C88" w:rsidRPr="00CC3021">
        <w:rPr>
          <w:rFonts w:ascii="Arial" w:hAnsi="Arial" w:cs="Arial"/>
          <w:b/>
        </w:rPr>
        <w:t>FS_</w:t>
      </w:r>
      <w:r w:rsidR="00890C88">
        <w:rPr>
          <w:rFonts w:ascii="Arial" w:hAnsi="Arial" w:cs="Arial"/>
          <w:b/>
        </w:rPr>
        <w:t>Sensing</w:t>
      </w:r>
      <w:r w:rsidR="00890C88" w:rsidRPr="00CC3021">
        <w:rPr>
          <w:rFonts w:ascii="Arial" w:hAnsi="Arial" w:cs="Arial"/>
          <w:b/>
        </w:rPr>
        <w:t>_ARC</w:t>
      </w:r>
      <w:proofErr w:type="spellEnd"/>
      <w:r w:rsidR="00890C88" w:rsidRPr="00CC3021">
        <w:rPr>
          <w:rFonts w:ascii="Arial" w:hAnsi="Arial" w:cs="Arial"/>
          <w:b/>
        </w:rPr>
        <w:t xml:space="preserve"> </w:t>
      </w:r>
      <w:r w:rsidR="00890C88" w:rsidRPr="009913AA">
        <w:rPr>
          <w:rFonts w:ascii="Arial" w:hAnsi="Arial" w:cs="Arial"/>
          <w:b/>
        </w:rPr>
        <w:t>/ Rel-</w:t>
      </w:r>
      <w:r w:rsidR="00890C88">
        <w:rPr>
          <w:rFonts w:ascii="Arial" w:hAnsi="Arial" w:cs="Arial"/>
          <w:b/>
        </w:rPr>
        <w:t>20</w:t>
      </w:r>
    </w:p>
    <w:p w14:paraId="6C3FFB29" w14:textId="54C3AADB"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3449C" w:rsidRPr="00243784">
        <w:rPr>
          <w:rFonts w:ascii="Arial" w:hAnsi="Arial" w:cs="Arial" w:hint="eastAsia"/>
          <w:i/>
        </w:rPr>
        <w:t>on</w:t>
      </w:r>
      <w:r w:rsidR="00385ADB" w:rsidRPr="00243784">
        <w:rPr>
          <w:rFonts w:ascii="Arial" w:hAnsi="Arial" w:cs="Arial"/>
          <w:i/>
        </w:rPr>
        <w:t xml:space="preserve"> </w:t>
      </w:r>
      <w:r w:rsidR="00890C88">
        <w:rPr>
          <w:rFonts w:ascii="Arial" w:hAnsi="Arial" w:cs="Arial"/>
          <w:i/>
        </w:rPr>
        <w:t>UE as a sensing service consumer.</w:t>
      </w:r>
    </w:p>
    <w:p w14:paraId="6D9354FE" w14:textId="77777777" w:rsidR="00A93620" w:rsidRDefault="00B3593E" w:rsidP="00B3593E">
      <w:pPr>
        <w:pStyle w:val="Heading1"/>
      </w:pPr>
      <w:r w:rsidRPr="00927C1B">
        <w:t xml:space="preserve">1. </w:t>
      </w:r>
      <w:r w:rsidR="00B4739E">
        <w:t>Introduction</w:t>
      </w:r>
    </w:p>
    <w:p w14:paraId="4F97FC32" w14:textId="196EAAF5" w:rsidR="004E7888" w:rsidRPr="004E7888" w:rsidRDefault="004E7888" w:rsidP="004E7888">
      <w:pPr>
        <w:rPr>
          <w:rFonts w:eastAsiaTheme="minorEastAsia"/>
          <w:lang w:eastAsia="zh-CN"/>
        </w:rPr>
      </w:pPr>
      <w:r w:rsidRPr="004E7888">
        <w:rPr>
          <w:rFonts w:eastAsiaTheme="minorEastAsia"/>
          <w:lang w:eastAsia="zh-CN"/>
        </w:rPr>
        <w:t xml:space="preserve">TR 23.700‑14 defines in its architectural requirements that “The Sensing Service needs to support exposure of the sensing results to a </w:t>
      </w:r>
      <w:r w:rsidRPr="00484400">
        <w:rPr>
          <w:rFonts w:eastAsiaTheme="minorEastAsia"/>
          <w:i/>
          <w:iCs/>
          <w:lang w:eastAsia="zh-CN"/>
        </w:rPr>
        <w:t>Sensing Service consumer</w:t>
      </w:r>
      <w:r w:rsidRPr="004E7888">
        <w:rPr>
          <w:rFonts w:eastAsiaTheme="minorEastAsia"/>
          <w:lang w:eastAsia="zh-CN"/>
        </w:rPr>
        <w:t xml:space="preserve">”. </w:t>
      </w:r>
      <w:r>
        <w:rPr>
          <w:rFonts w:eastAsiaTheme="minorEastAsia"/>
          <w:lang w:eastAsia="zh-CN"/>
        </w:rPr>
        <w:t xml:space="preserve">Furthermore, </w:t>
      </w:r>
      <w:r w:rsidRPr="004E7888">
        <w:rPr>
          <w:rFonts w:eastAsiaTheme="minorEastAsia"/>
          <w:lang w:eastAsia="zh-CN"/>
        </w:rPr>
        <w:t xml:space="preserve">In Key Issue #5 on </w:t>
      </w:r>
      <w:r>
        <w:rPr>
          <w:rFonts w:eastAsiaTheme="minorEastAsia"/>
          <w:lang w:eastAsia="zh-CN"/>
        </w:rPr>
        <w:t>“</w:t>
      </w:r>
      <w:r w:rsidRPr="004E7888">
        <w:rPr>
          <w:rFonts w:eastAsiaTheme="minorEastAsia"/>
          <w:lang w:eastAsia="zh-CN"/>
        </w:rPr>
        <w:t>Sensing Result Exposure</w:t>
      </w:r>
      <w:r>
        <w:rPr>
          <w:rFonts w:eastAsiaTheme="minorEastAsia"/>
          <w:lang w:eastAsia="zh-CN"/>
        </w:rPr>
        <w:t>”</w:t>
      </w:r>
      <w:r w:rsidRPr="004E7888">
        <w:rPr>
          <w:rFonts w:eastAsiaTheme="minorEastAsia"/>
          <w:lang w:eastAsia="zh-CN"/>
        </w:rPr>
        <w:t>, the same term “</w:t>
      </w:r>
      <w:r w:rsidRPr="00484400">
        <w:rPr>
          <w:rFonts w:eastAsiaTheme="minorEastAsia"/>
          <w:i/>
          <w:iCs/>
          <w:lang w:eastAsia="zh-CN"/>
        </w:rPr>
        <w:t>Sensing Service Consumer</w:t>
      </w:r>
      <w:r w:rsidRPr="004E7888">
        <w:rPr>
          <w:rFonts w:eastAsiaTheme="minorEastAsia"/>
          <w:lang w:eastAsia="zh-CN"/>
        </w:rPr>
        <w:t>” is used without further qualification.</w:t>
      </w:r>
    </w:p>
    <w:p w14:paraId="14B2E3DB" w14:textId="3AEBEFEC" w:rsidR="004E7888" w:rsidRPr="004E7888" w:rsidRDefault="004E7888" w:rsidP="004E7888">
      <w:pPr>
        <w:rPr>
          <w:rFonts w:eastAsiaTheme="minorEastAsia"/>
          <w:lang w:eastAsia="zh-CN"/>
        </w:rPr>
      </w:pPr>
      <w:r w:rsidRPr="004E7888">
        <w:rPr>
          <w:rFonts w:eastAsiaTheme="minorEastAsia"/>
          <w:lang w:eastAsia="zh-CN"/>
        </w:rPr>
        <w:t xml:space="preserve">During the study, some companies have interpreted </w:t>
      </w:r>
      <w:r w:rsidRPr="00484400">
        <w:rPr>
          <w:rFonts w:eastAsiaTheme="minorEastAsia"/>
          <w:i/>
          <w:iCs/>
          <w:lang w:eastAsia="zh-CN"/>
        </w:rPr>
        <w:t>Sensing Service Consumer</w:t>
      </w:r>
      <w:r w:rsidRPr="004E7888">
        <w:rPr>
          <w:rFonts w:eastAsiaTheme="minorEastAsia"/>
          <w:lang w:eastAsia="zh-CN"/>
        </w:rPr>
        <w:t xml:space="preserve"> to include the UE. This </w:t>
      </w:r>
      <w:r>
        <w:rPr>
          <w:rFonts w:eastAsiaTheme="minorEastAsia"/>
          <w:lang w:eastAsia="zh-CN"/>
        </w:rPr>
        <w:t>discussion paper</w:t>
      </w:r>
      <w:r w:rsidRPr="004E7888">
        <w:rPr>
          <w:rFonts w:eastAsiaTheme="minorEastAsia"/>
          <w:lang w:eastAsia="zh-CN"/>
        </w:rPr>
        <w:t xml:space="preserve"> seeks to clarify that, for the current Rel‑20 </w:t>
      </w:r>
      <w:r w:rsidR="006B6E2D">
        <w:rPr>
          <w:rFonts w:eastAsiaTheme="minorEastAsia"/>
          <w:lang w:eastAsia="zh-CN"/>
        </w:rPr>
        <w:t xml:space="preserve">5G-A </w:t>
      </w:r>
      <w:r w:rsidRPr="004E7888">
        <w:rPr>
          <w:rFonts w:eastAsiaTheme="minorEastAsia"/>
          <w:lang w:eastAsia="zh-CN"/>
        </w:rPr>
        <w:t xml:space="preserve">study, </w:t>
      </w:r>
      <w:r w:rsidRPr="00484400">
        <w:rPr>
          <w:rFonts w:eastAsiaTheme="minorEastAsia"/>
          <w:i/>
          <w:iCs/>
          <w:lang w:eastAsia="zh-CN"/>
        </w:rPr>
        <w:t>Sensing Service Consumer</w:t>
      </w:r>
      <w:r w:rsidRPr="004E7888">
        <w:rPr>
          <w:rFonts w:eastAsiaTheme="minorEastAsia"/>
          <w:lang w:eastAsia="zh-CN"/>
        </w:rPr>
        <w:t xml:space="preserve"> should refer to a trusted Application Function (AF) interfacing via the NEF, and not to the UE.</w:t>
      </w:r>
    </w:p>
    <w:p w14:paraId="31C8E3E0" w14:textId="0B4F508A" w:rsidR="004E7888" w:rsidRPr="004E7888" w:rsidRDefault="004E7888" w:rsidP="004E7888">
      <w:pPr>
        <w:rPr>
          <w:rFonts w:eastAsiaTheme="minorEastAsia"/>
          <w:lang w:eastAsia="zh-CN"/>
        </w:rPr>
      </w:pPr>
      <w:r w:rsidRPr="004E7888">
        <w:rPr>
          <w:rFonts w:eastAsiaTheme="minorEastAsia"/>
          <w:lang w:eastAsia="zh-CN"/>
        </w:rPr>
        <w:t>The rationale is based on the interpretation of SA1 requirements, operational and security considerations, and lessons learned from previous work items</w:t>
      </w:r>
      <w:r w:rsidR="006B6E2D">
        <w:rPr>
          <w:rFonts w:eastAsiaTheme="minorEastAsia"/>
          <w:lang w:eastAsia="zh-CN"/>
        </w:rPr>
        <w:t xml:space="preserve"> in 5GS</w:t>
      </w:r>
      <w:r w:rsidRPr="004E7888">
        <w:rPr>
          <w:rFonts w:eastAsiaTheme="minorEastAsia"/>
          <w:lang w:eastAsia="zh-CN"/>
        </w:rPr>
        <w:t>. The contribution also proposes options for the way forward, including sending LSs to SA1 and SA3 for clarification and alignment if necessary.</w:t>
      </w:r>
    </w:p>
    <w:p w14:paraId="16B07327" w14:textId="77777777" w:rsidR="00D03981" w:rsidRDefault="00D03981" w:rsidP="00D03981">
      <w:pPr>
        <w:pStyle w:val="Heading1"/>
        <w:rPr>
          <w:lang w:eastAsia="zh-CN"/>
        </w:rPr>
      </w:pPr>
      <w:r>
        <w:rPr>
          <w:lang w:eastAsia="zh-CN"/>
        </w:rPr>
        <w:t>2. Discussion</w:t>
      </w:r>
    </w:p>
    <w:p w14:paraId="42E7693F" w14:textId="5B684055" w:rsidR="00250561" w:rsidRDefault="00B85FE1" w:rsidP="00B85FE1">
      <w:pPr>
        <w:rPr>
          <w:lang w:val="en-US"/>
        </w:rPr>
      </w:pPr>
      <w:r w:rsidRPr="00F92375">
        <w:rPr>
          <w:b/>
          <w:bCs/>
          <w:lang w:val="en-US"/>
        </w:rPr>
        <w:t>Observation 1</w:t>
      </w:r>
      <w:r w:rsidR="004E7888" w:rsidRPr="004E7888">
        <w:rPr>
          <w:b/>
          <w:bCs/>
          <w:lang w:val="en-US"/>
        </w:rPr>
        <w:t xml:space="preserve"> – Alignment with SA1 Requirements</w:t>
      </w:r>
      <w:r>
        <w:rPr>
          <w:lang w:val="en-US"/>
        </w:rPr>
        <w:t xml:space="preserve">: </w:t>
      </w:r>
      <w:r w:rsidR="004E7888" w:rsidRPr="004E7888">
        <w:rPr>
          <w:lang w:val="en-US"/>
        </w:rPr>
        <w:t>In the SA1 requirements for sensing</w:t>
      </w:r>
      <w:r w:rsidR="006B6E2D">
        <w:rPr>
          <w:lang w:val="en-US"/>
        </w:rPr>
        <w:t xml:space="preserve"> in 5G</w:t>
      </w:r>
      <w:r w:rsidR="00250561">
        <w:rPr>
          <w:lang w:val="en-US"/>
        </w:rPr>
        <w:t xml:space="preserve"> (</w:t>
      </w:r>
      <w:r w:rsidR="00250561" w:rsidRPr="00250561">
        <w:rPr>
          <w:lang w:val="en-US"/>
        </w:rPr>
        <w:t>TS 22.137</w:t>
      </w:r>
      <w:r w:rsidR="00250561">
        <w:rPr>
          <w:lang w:val="en-US"/>
        </w:rPr>
        <w:t>)</w:t>
      </w:r>
      <w:r w:rsidR="004E7888" w:rsidRPr="004E7888">
        <w:rPr>
          <w:lang w:val="en-US"/>
        </w:rPr>
        <w:t xml:space="preserve">, it is stated that sensing results are to be reported to a </w:t>
      </w:r>
      <w:r w:rsidR="004E7888">
        <w:rPr>
          <w:lang w:val="en-US"/>
        </w:rPr>
        <w:t>“</w:t>
      </w:r>
      <w:r w:rsidR="004E7888" w:rsidRPr="004E7888">
        <w:rPr>
          <w:lang w:val="en-US"/>
        </w:rPr>
        <w:t>trusted third‑party</w:t>
      </w:r>
      <w:r w:rsidR="004E7888">
        <w:rPr>
          <w:lang w:val="en-US"/>
        </w:rPr>
        <w:t>”</w:t>
      </w:r>
      <w:r w:rsidR="004E7888" w:rsidRPr="004E7888">
        <w:rPr>
          <w:lang w:val="en-US"/>
        </w:rPr>
        <w:t xml:space="preserve">. </w:t>
      </w:r>
      <w:r w:rsidR="00250561">
        <w:rPr>
          <w:lang w:val="en-US"/>
        </w:rPr>
        <w:t>TS 22.137, sub-clause 5.2.3 for Networ</w:t>
      </w:r>
      <w:r w:rsidR="008F73D9">
        <w:rPr>
          <w:lang w:val="en-US"/>
        </w:rPr>
        <w:t>k</w:t>
      </w:r>
      <w:r w:rsidR="00250561">
        <w:rPr>
          <w:lang w:val="en-US"/>
        </w:rPr>
        <w:t xml:space="preserve"> exposure mentions the requirements as </w:t>
      </w:r>
      <w:r w:rsidR="0045430D">
        <w:rPr>
          <w:lang w:val="en-US"/>
        </w:rPr>
        <w:t>follows</w:t>
      </w:r>
      <w:r w:rsidR="00250561">
        <w:rPr>
          <w:lang w:val="en-US"/>
        </w:rPr>
        <w:t>:</w:t>
      </w:r>
    </w:p>
    <w:p w14:paraId="50BCB789" w14:textId="2068E0CF" w:rsidR="00250561" w:rsidRPr="00250561" w:rsidRDefault="00250561" w:rsidP="00250561">
      <w:pPr>
        <w:rPr>
          <w:i/>
          <w:iCs/>
          <w:lang w:eastAsia="ko-KR"/>
        </w:rPr>
      </w:pPr>
      <w:r w:rsidRPr="00250561">
        <w:rPr>
          <w:i/>
          <w:iCs/>
          <w:lang w:eastAsia="ko-KR"/>
        </w:rPr>
        <w:t>“Subject to operator’s policy, the 5G network shall be able to provide secure means to report sensing result to a trusted third-party requesting information about a target object when specific requested conditions are met.”</w:t>
      </w:r>
    </w:p>
    <w:p w14:paraId="5218826C" w14:textId="298CBABA" w:rsidR="00B85FE1" w:rsidRDefault="004E7888" w:rsidP="00B85FE1">
      <w:pPr>
        <w:rPr>
          <w:lang w:val="en-US"/>
        </w:rPr>
      </w:pPr>
      <w:r w:rsidRPr="004E7888">
        <w:rPr>
          <w:lang w:val="en-US"/>
        </w:rPr>
        <w:t>In the architecture context, this trusted third‑party is typically realized as an AF under a contractual and operational agreement with the operator. UEs, in contrast, are not explicitly identified by SA1 as recipients of sensing results.</w:t>
      </w:r>
    </w:p>
    <w:p w14:paraId="3585A71B" w14:textId="77777777" w:rsidR="004E7888" w:rsidRDefault="00B3628C" w:rsidP="00A92877">
      <w:pPr>
        <w:rPr>
          <w:b/>
          <w:bCs/>
          <w:lang w:val="en-US"/>
        </w:rPr>
      </w:pPr>
      <w:r w:rsidRPr="00F92375">
        <w:rPr>
          <w:b/>
          <w:bCs/>
          <w:lang w:val="en-US"/>
        </w:rPr>
        <w:t xml:space="preserve">Observation </w:t>
      </w:r>
      <w:r>
        <w:rPr>
          <w:b/>
          <w:bCs/>
          <w:lang w:val="en-US"/>
        </w:rPr>
        <w:t>2</w:t>
      </w:r>
      <w:r w:rsidR="004E7888" w:rsidRPr="004E7888">
        <w:t xml:space="preserve"> </w:t>
      </w:r>
      <w:r w:rsidR="004E7888" w:rsidRPr="004E7888">
        <w:rPr>
          <w:b/>
          <w:bCs/>
          <w:lang w:val="en-US"/>
        </w:rPr>
        <w:t>– Trust and Control Model for UEs</w:t>
      </w:r>
      <w:r>
        <w:rPr>
          <w:lang w:val="en-US"/>
        </w:rPr>
        <w:t xml:space="preserve">: </w:t>
      </w:r>
      <w:r w:rsidR="004E7888" w:rsidRPr="004E7888">
        <w:t>Historically, UEs are not fully trusted entities and operate only partially under the control of the MNO. In contrast, AFs are bound by SLAs with the operator, providing clear accountability in case of misuse or security breaches. Exposing network</w:t>
      </w:r>
      <w:r w:rsidR="004E7888" w:rsidRPr="004E7888">
        <w:noBreakHyphen/>
        <w:t>derived sensing results directly to UEs introduces uncertainties regarding the purpose and handling of this information, increasing the risk of uncontrolled dissemination or misuse.</w:t>
      </w:r>
      <w:r w:rsidR="004E7888" w:rsidRPr="004E7888">
        <w:rPr>
          <w:b/>
          <w:bCs/>
          <w:lang w:val="en-US"/>
        </w:rPr>
        <w:t xml:space="preserve"> </w:t>
      </w:r>
    </w:p>
    <w:p w14:paraId="71B5D5D7" w14:textId="5BD15BE2" w:rsidR="00A92877" w:rsidRDefault="00A92877" w:rsidP="00A92877">
      <w:pPr>
        <w:rPr>
          <w:lang w:val="en-US"/>
        </w:rPr>
      </w:pPr>
      <w:r w:rsidRPr="00F92375">
        <w:rPr>
          <w:b/>
          <w:bCs/>
          <w:lang w:val="en-US"/>
        </w:rPr>
        <w:t xml:space="preserve">Observation </w:t>
      </w:r>
      <w:r>
        <w:rPr>
          <w:b/>
          <w:bCs/>
          <w:lang w:val="en-US"/>
        </w:rPr>
        <w:t>3</w:t>
      </w:r>
      <w:r w:rsidR="004E7888" w:rsidRPr="004E7888">
        <w:t xml:space="preserve"> </w:t>
      </w:r>
      <w:r w:rsidR="004E7888" w:rsidRPr="004E7888">
        <w:rPr>
          <w:b/>
          <w:bCs/>
          <w:lang w:val="en-US"/>
        </w:rPr>
        <w:t>– Security and Privacy Risks</w:t>
      </w:r>
      <w:r>
        <w:rPr>
          <w:lang w:val="en-US"/>
        </w:rPr>
        <w:t xml:space="preserve">: </w:t>
      </w:r>
      <w:r w:rsidR="004E7888" w:rsidRPr="004E7888">
        <w:rPr>
          <w:lang w:val="en-US"/>
        </w:rPr>
        <w:t xml:space="preserve">Allowing UEs to receive sensing results raises unresolved questions about how to enforce data protection, </w:t>
      </w:r>
      <w:r w:rsidR="00250561">
        <w:rPr>
          <w:lang w:val="en-US"/>
        </w:rPr>
        <w:t>p</w:t>
      </w:r>
      <w:r w:rsidR="004E7888" w:rsidRPr="004E7888">
        <w:rPr>
          <w:lang w:val="en-US"/>
        </w:rPr>
        <w:t>revent exposure to end‑users, secure against malicious exploitation</w:t>
      </w:r>
      <w:r w:rsidR="003475A5">
        <w:rPr>
          <w:lang w:val="en-US"/>
        </w:rPr>
        <w:t>, and other user-consent and privacy related concerns</w:t>
      </w:r>
      <w:r w:rsidR="004E7888" w:rsidRPr="004E7888">
        <w:rPr>
          <w:lang w:val="en-US"/>
        </w:rPr>
        <w:t>. Without clear requirements and enforcement mechanisms, the exposure of such data to UEs poses significant risks to network security and user privacy.</w:t>
      </w:r>
    </w:p>
    <w:p w14:paraId="30C94AA5" w14:textId="4978EF25" w:rsidR="00B14001" w:rsidRDefault="003475A5" w:rsidP="00C36D8A">
      <w:r w:rsidRPr="00F92375">
        <w:rPr>
          <w:b/>
          <w:bCs/>
          <w:lang w:val="en-US"/>
        </w:rPr>
        <w:t xml:space="preserve">Observation </w:t>
      </w:r>
      <w:r>
        <w:rPr>
          <w:b/>
          <w:bCs/>
          <w:lang w:val="en-US"/>
        </w:rPr>
        <w:t>4</w:t>
      </w:r>
      <w:r w:rsidRPr="004E7888">
        <w:t xml:space="preserve"> </w:t>
      </w:r>
      <w:r w:rsidRPr="004E7888">
        <w:rPr>
          <w:b/>
          <w:bCs/>
          <w:lang w:val="en-US"/>
        </w:rPr>
        <w:t xml:space="preserve">– </w:t>
      </w:r>
      <w:r w:rsidRPr="003475A5">
        <w:rPr>
          <w:b/>
          <w:bCs/>
        </w:rPr>
        <w:t>Precedent from</w:t>
      </w:r>
      <w:r>
        <w:rPr>
          <w:b/>
          <w:bCs/>
        </w:rPr>
        <w:t xml:space="preserve"> previous Releases</w:t>
      </w:r>
      <w:r>
        <w:rPr>
          <w:lang w:val="en-US"/>
        </w:rPr>
        <w:t xml:space="preserve">: </w:t>
      </w:r>
      <w:r w:rsidRPr="003475A5">
        <w:t xml:space="preserve">In </w:t>
      </w:r>
      <w:r>
        <w:t>the past releases</w:t>
      </w:r>
      <w:r w:rsidR="00926DDF">
        <w:t>,</w:t>
      </w:r>
      <w:r>
        <w:t xml:space="preserve"> for example</w:t>
      </w:r>
      <w:r w:rsidR="00926DDF">
        <w:t>,</w:t>
      </w:r>
      <w:r>
        <w:t xml:space="preserve"> in </w:t>
      </w:r>
      <w:r w:rsidRPr="003475A5">
        <w:t>Rel</w:t>
      </w:r>
      <w:r w:rsidRPr="003475A5">
        <w:noBreakHyphen/>
        <w:t xml:space="preserve">18, </w:t>
      </w:r>
      <w:r w:rsidR="008F73D9">
        <w:t xml:space="preserve">under work item Ranging_SL, </w:t>
      </w:r>
      <w:r w:rsidRPr="003475A5">
        <w:t>clauses enabling UE</w:t>
      </w:r>
      <w:r w:rsidRPr="003475A5">
        <w:noBreakHyphen/>
        <w:t>initiated ranging/SL positioning service exposure through UP/CP were ultimately removed due to lack of agreement in SA2 and SA3 on handling UE privacy checks (</w:t>
      </w:r>
      <w:r w:rsidR="008F73D9">
        <w:t xml:space="preserve">TS </w:t>
      </w:r>
      <w:r w:rsidRPr="003475A5">
        <w:t xml:space="preserve">23.586, </w:t>
      </w:r>
      <w:r>
        <w:t xml:space="preserve">void clauses in </w:t>
      </w:r>
      <w:r w:rsidRPr="003475A5">
        <w:t xml:space="preserve">clause </w:t>
      </w:r>
      <w:r w:rsidR="00250561">
        <w:t>5</w:t>
      </w:r>
      <w:r w:rsidRPr="003475A5">
        <w:t>.</w:t>
      </w:r>
      <w:r w:rsidR="00250561">
        <w:t>6</w:t>
      </w:r>
      <w:r w:rsidRPr="003475A5">
        <w:t xml:space="preserve">). Proceeding with UE as a </w:t>
      </w:r>
      <w:r w:rsidR="00AD0C19" w:rsidRPr="00AD0C19">
        <w:rPr>
          <w:i/>
          <w:iCs/>
        </w:rPr>
        <w:t>S</w:t>
      </w:r>
      <w:r w:rsidRPr="00AD0C19">
        <w:rPr>
          <w:i/>
          <w:iCs/>
        </w:rPr>
        <w:t xml:space="preserve">ensing </w:t>
      </w:r>
      <w:r w:rsidR="00AD0C19" w:rsidRPr="00AD0C19">
        <w:rPr>
          <w:i/>
          <w:iCs/>
        </w:rPr>
        <w:t>S</w:t>
      </w:r>
      <w:r w:rsidRPr="00AD0C19">
        <w:rPr>
          <w:i/>
          <w:iCs/>
        </w:rPr>
        <w:t xml:space="preserve">ervice </w:t>
      </w:r>
      <w:r w:rsidR="00AD0C19" w:rsidRPr="00AD0C19">
        <w:rPr>
          <w:i/>
          <w:iCs/>
        </w:rPr>
        <w:t>C</w:t>
      </w:r>
      <w:r w:rsidRPr="00AD0C19">
        <w:rPr>
          <w:i/>
          <w:iCs/>
        </w:rPr>
        <w:t xml:space="preserve">onsumer </w:t>
      </w:r>
      <w:r w:rsidRPr="003475A5">
        <w:t>in Rel</w:t>
      </w:r>
      <w:r w:rsidRPr="003475A5">
        <w:noBreakHyphen/>
        <w:t>20 without resolving these privacy concerns is likely to encounter the same inter</w:t>
      </w:r>
      <w:r w:rsidRPr="003475A5">
        <w:noBreakHyphen/>
        <w:t xml:space="preserve">WG deadlock. </w:t>
      </w:r>
      <w:r w:rsidR="008F73D9">
        <w:t xml:space="preserve">Furthermore, in Rel-18 under study item </w:t>
      </w:r>
      <w:proofErr w:type="spellStart"/>
      <w:r w:rsidR="008F73D9" w:rsidRPr="008F73D9">
        <w:t>FS_AIMLsys</w:t>
      </w:r>
      <w:proofErr w:type="spellEnd"/>
      <w:r w:rsidR="008F73D9">
        <w:t xml:space="preserve">, for </w:t>
      </w:r>
      <w:r w:rsidR="008F73D9" w:rsidRPr="008F73D9">
        <w:t>Key Issue #2</w:t>
      </w:r>
      <w:r w:rsidR="008F73D9">
        <w:t xml:space="preserve"> on “</w:t>
      </w:r>
      <w:r w:rsidR="008F73D9" w:rsidRPr="008F73D9">
        <w:t>5GC information exposure to UE</w:t>
      </w:r>
      <w:r w:rsidR="008F73D9">
        <w:t>”, same issue was noticed (</w:t>
      </w:r>
      <w:r w:rsidR="008F73D9" w:rsidRPr="008F73D9">
        <w:t>S2-2203768</w:t>
      </w:r>
      <w:r w:rsidR="008F73D9">
        <w:t>).</w:t>
      </w:r>
      <w:r w:rsidR="008F73D9" w:rsidRPr="008F73D9">
        <w:t xml:space="preserve"> </w:t>
      </w:r>
      <w:r w:rsidRPr="003475A5">
        <w:t>This suggests a proactive approach to avoid repeating past issues.</w:t>
      </w:r>
    </w:p>
    <w:p w14:paraId="3F7B385B" w14:textId="4151F960" w:rsidR="006B6E2D" w:rsidRDefault="006B6E2D" w:rsidP="006B6E2D">
      <w:pPr>
        <w:pStyle w:val="NO"/>
        <w:rPr>
          <w:lang w:val="en-US"/>
        </w:rPr>
      </w:pPr>
      <w:r>
        <w:lastRenderedPageBreak/>
        <w:t xml:space="preserve">NOTE: </w:t>
      </w:r>
      <w:r>
        <w:tab/>
        <w:t>Above observations are applicable in the context of Rel-20 5G</w:t>
      </w:r>
      <w:r w:rsidR="005F293F">
        <w:t>-A</w:t>
      </w:r>
      <w:r>
        <w:t xml:space="preserve"> study on sensing based on existing requirements for sensing in 5G as of Rel-20 but does not preclude the possibility to study such exposure mechanisms in the context of 6G</w:t>
      </w:r>
      <w:r w:rsidR="00542DB8">
        <w:t xml:space="preserve"> subject to scoping and</w:t>
      </w:r>
      <w:r>
        <w:t xml:space="preserve"> the outcome of SA1 study on 6G.</w:t>
      </w:r>
    </w:p>
    <w:p w14:paraId="052ED8A2" w14:textId="7ECE0F2B" w:rsidR="008F0B57" w:rsidRDefault="00AB1E11" w:rsidP="00636B44">
      <w:pPr>
        <w:pStyle w:val="Heading1"/>
        <w:rPr>
          <w:lang w:eastAsia="zh-CN"/>
        </w:rPr>
      </w:pPr>
      <w:r>
        <w:rPr>
          <w:lang w:eastAsia="zh-CN"/>
        </w:rPr>
        <w:t>3. Conclusion and proposal</w:t>
      </w:r>
      <w:r w:rsidR="000E6725">
        <w:rPr>
          <w:lang w:eastAsia="zh-CN"/>
        </w:rPr>
        <w:t>(s)</w:t>
      </w:r>
    </w:p>
    <w:p w14:paraId="7E985B4B" w14:textId="28764FAD" w:rsidR="00A60EFA" w:rsidRPr="00B46794" w:rsidRDefault="007E1255" w:rsidP="00294B58">
      <w:pPr>
        <w:rPr>
          <w:rFonts w:eastAsiaTheme="minorEastAsia"/>
          <w:lang w:eastAsia="zh-CN"/>
        </w:rPr>
      </w:pPr>
      <w:r w:rsidRPr="007E1255">
        <w:rPr>
          <w:rFonts w:eastAsiaTheme="minorEastAsia"/>
          <w:lang w:eastAsia="zh-CN"/>
        </w:rPr>
        <w:t>Based on the above observations, we have the following proposal</w:t>
      </w:r>
      <w:r w:rsidR="003475A5">
        <w:rPr>
          <w:rFonts w:eastAsiaTheme="minorEastAsia"/>
          <w:lang w:eastAsia="zh-CN"/>
        </w:rPr>
        <w:t>s</w:t>
      </w:r>
      <w:r w:rsidRPr="007E1255">
        <w:rPr>
          <w:rFonts w:eastAsiaTheme="minorEastAsia"/>
          <w:lang w:eastAsia="zh-CN"/>
        </w:rPr>
        <w:t>:</w:t>
      </w:r>
    </w:p>
    <w:p w14:paraId="54DAD2AB" w14:textId="5D1B0AD8" w:rsidR="00294B58" w:rsidRDefault="0092202E" w:rsidP="00D74EA0">
      <w:pPr>
        <w:rPr>
          <w:rFonts w:eastAsiaTheme="minorEastAsia"/>
          <w:b/>
          <w:lang w:eastAsia="zh-CN"/>
        </w:rPr>
      </w:pPr>
      <w:r w:rsidRPr="00B46794">
        <w:rPr>
          <w:rFonts w:eastAsiaTheme="minorEastAsia"/>
          <w:b/>
          <w:lang w:eastAsia="zh-CN"/>
        </w:rPr>
        <w:t>Prop</w:t>
      </w:r>
      <w:r w:rsidR="000D7368" w:rsidRPr="00B46794">
        <w:rPr>
          <w:rFonts w:eastAsiaTheme="minorEastAsia"/>
          <w:b/>
          <w:lang w:eastAsia="zh-CN"/>
        </w:rPr>
        <w:t>o</w:t>
      </w:r>
      <w:r w:rsidRPr="00B46794">
        <w:rPr>
          <w:rFonts w:eastAsiaTheme="minorEastAsia"/>
          <w:b/>
          <w:lang w:eastAsia="zh-CN"/>
        </w:rPr>
        <w:t>sal</w:t>
      </w:r>
      <w:r w:rsidR="003475A5">
        <w:rPr>
          <w:rFonts w:eastAsiaTheme="minorEastAsia"/>
          <w:b/>
          <w:lang w:eastAsia="zh-CN"/>
        </w:rPr>
        <w:t xml:space="preserve"> 1</w:t>
      </w:r>
      <w:r w:rsidR="00484400">
        <w:rPr>
          <w:rFonts w:eastAsiaTheme="minorEastAsia"/>
          <w:b/>
          <w:lang w:eastAsia="zh-CN"/>
        </w:rPr>
        <w:t xml:space="preserve"> (primary proposal)</w:t>
      </w:r>
      <w:r w:rsidRPr="00B46794">
        <w:rPr>
          <w:rFonts w:eastAsiaTheme="minorEastAsia"/>
          <w:b/>
          <w:lang w:eastAsia="zh-CN"/>
        </w:rPr>
        <w:t xml:space="preserve">: </w:t>
      </w:r>
      <w:r w:rsidR="003475A5" w:rsidRPr="003475A5">
        <w:rPr>
          <w:rFonts w:eastAsiaTheme="minorEastAsia"/>
          <w:b/>
          <w:lang w:eastAsia="zh-CN"/>
        </w:rPr>
        <w:t>For Rel</w:t>
      </w:r>
      <w:r w:rsidR="003475A5" w:rsidRPr="003475A5">
        <w:rPr>
          <w:rFonts w:eastAsiaTheme="minorEastAsia"/>
          <w:b/>
          <w:lang w:eastAsia="zh-CN"/>
        </w:rPr>
        <w:noBreakHyphen/>
        <w:t xml:space="preserve">20 </w:t>
      </w:r>
      <w:r w:rsidR="001652B9">
        <w:rPr>
          <w:rFonts w:eastAsiaTheme="minorEastAsia"/>
          <w:b/>
          <w:lang w:eastAsia="zh-CN"/>
        </w:rPr>
        <w:t xml:space="preserve">5G-A </w:t>
      </w:r>
      <w:r w:rsidR="003475A5" w:rsidRPr="003475A5">
        <w:rPr>
          <w:rFonts w:eastAsiaTheme="minorEastAsia"/>
          <w:b/>
          <w:lang w:eastAsia="zh-CN"/>
        </w:rPr>
        <w:t xml:space="preserve">ISAC study, define </w:t>
      </w:r>
      <w:r w:rsidR="003475A5" w:rsidRPr="003475A5">
        <w:rPr>
          <w:rFonts w:eastAsiaTheme="minorEastAsia"/>
          <w:b/>
          <w:i/>
          <w:iCs/>
          <w:lang w:eastAsia="zh-CN"/>
        </w:rPr>
        <w:t>Sensing Service Consumer</w:t>
      </w:r>
      <w:r w:rsidR="003475A5" w:rsidRPr="003475A5">
        <w:rPr>
          <w:rFonts w:eastAsiaTheme="minorEastAsia"/>
          <w:b/>
          <w:lang w:eastAsia="zh-CN"/>
        </w:rPr>
        <w:t xml:space="preserve"> exclusively as a trusted AF interfacing via the NEF</w:t>
      </w:r>
      <w:r w:rsidR="003475A5">
        <w:rPr>
          <w:rFonts w:eastAsiaTheme="minorEastAsia"/>
          <w:b/>
          <w:lang w:eastAsia="zh-CN"/>
        </w:rPr>
        <w:t xml:space="preserve"> and r</w:t>
      </w:r>
      <w:r w:rsidR="003475A5" w:rsidRPr="003475A5">
        <w:rPr>
          <w:rFonts w:eastAsiaTheme="minorEastAsia"/>
          <w:b/>
          <w:lang w:eastAsia="zh-CN"/>
        </w:rPr>
        <w:t>emove any consideration of UE as a direct sensing service consumer from the current study scope</w:t>
      </w:r>
      <w:r w:rsidR="003475A5">
        <w:rPr>
          <w:rFonts w:eastAsiaTheme="minorEastAsia"/>
          <w:b/>
          <w:lang w:eastAsia="zh-CN"/>
        </w:rPr>
        <w:t xml:space="preserve"> in this release</w:t>
      </w:r>
      <w:r w:rsidR="003475A5" w:rsidRPr="003475A5">
        <w:rPr>
          <w:rFonts w:eastAsiaTheme="minorEastAsia"/>
          <w:b/>
          <w:lang w:eastAsia="zh-CN"/>
        </w:rPr>
        <w:t>.</w:t>
      </w:r>
    </w:p>
    <w:p w14:paraId="22659A32" w14:textId="77777777" w:rsidR="00484400" w:rsidRDefault="003475A5" w:rsidP="00D74EA0">
      <w:pPr>
        <w:rPr>
          <w:rFonts w:eastAsiaTheme="minorEastAsia"/>
          <w:b/>
          <w:lang w:eastAsia="zh-CN"/>
        </w:rPr>
      </w:pPr>
      <w:r>
        <w:rPr>
          <w:rFonts w:eastAsiaTheme="minorEastAsia"/>
          <w:b/>
          <w:lang w:eastAsia="zh-CN"/>
        </w:rPr>
        <w:t xml:space="preserve">Proposal 2 (alternative proposal): </w:t>
      </w:r>
    </w:p>
    <w:p w14:paraId="3ACAA2C1" w14:textId="12144A25" w:rsidR="003475A5" w:rsidRPr="00484400" w:rsidRDefault="00484400" w:rsidP="00484400">
      <w:pPr>
        <w:pStyle w:val="ListParagraph"/>
        <w:numPr>
          <w:ilvl w:val="0"/>
          <w:numId w:val="32"/>
        </w:numPr>
        <w:rPr>
          <w:rFonts w:eastAsiaTheme="minorEastAsia"/>
          <w:b/>
          <w:lang w:eastAsia="zh-CN"/>
        </w:rPr>
      </w:pPr>
      <w:r w:rsidRPr="00484400">
        <w:rPr>
          <w:rFonts w:eastAsiaTheme="minorEastAsia"/>
          <w:b/>
          <w:lang w:eastAsia="zh-CN"/>
        </w:rPr>
        <w:t xml:space="preserve">If consensus cannot be reached on the primary proposal, send a Liaison Statement to SA1 requesting clarification </w:t>
      </w:r>
      <w:r w:rsidR="005C7FD9">
        <w:rPr>
          <w:rFonts w:eastAsiaTheme="minorEastAsia"/>
          <w:b/>
          <w:lang w:eastAsia="zh-CN"/>
        </w:rPr>
        <w:t xml:space="preserve">on </w:t>
      </w:r>
      <w:r w:rsidR="001652B9">
        <w:rPr>
          <w:rFonts w:eastAsiaTheme="minorEastAsia"/>
          <w:b/>
          <w:lang w:eastAsia="zh-CN"/>
        </w:rPr>
        <w:t xml:space="preserve">existing 5G </w:t>
      </w:r>
      <w:r w:rsidR="005C7FD9">
        <w:rPr>
          <w:rFonts w:eastAsiaTheme="minorEastAsia"/>
          <w:b/>
          <w:lang w:eastAsia="zh-CN"/>
        </w:rPr>
        <w:t xml:space="preserve">requirements whether </w:t>
      </w:r>
      <w:r w:rsidR="00A8699A" w:rsidRPr="00A8699A">
        <w:rPr>
          <w:rFonts w:eastAsiaTheme="minorEastAsia"/>
          <w:b/>
          <w:lang w:eastAsia="zh-CN"/>
        </w:rPr>
        <w:t>“trusted third‑party”</w:t>
      </w:r>
      <w:r w:rsidR="00A8699A">
        <w:rPr>
          <w:rFonts w:eastAsiaTheme="minorEastAsia"/>
          <w:b/>
          <w:lang w:eastAsia="zh-CN"/>
        </w:rPr>
        <w:t xml:space="preserve"> be considered to include UE as well</w:t>
      </w:r>
      <w:r w:rsidR="00A8699A" w:rsidRPr="00A8699A">
        <w:rPr>
          <w:rFonts w:eastAsiaTheme="minorEastAsia"/>
          <w:b/>
          <w:lang w:eastAsia="zh-CN"/>
        </w:rPr>
        <w:t>.</w:t>
      </w:r>
    </w:p>
    <w:p w14:paraId="5FB6E885" w14:textId="4C94874C" w:rsidR="00484400" w:rsidRPr="00484400" w:rsidRDefault="009840AA" w:rsidP="00484400">
      <w:pPr>
        <w:pStyle w:val="ListParagraph"/>
        <w:numPr>
          <w:ilvl w:val="0"/>
          <w:numId w:val="32"/>
        </w:numPr>
        <w:rPr>
          <w:rFonts w:eastAsiaTheme="minorEastAsia"/>
          <w:b/>
          <w:lang w:eastAsia="zh-CN"/>
        </w:rPr>
      </w:pPr>
      <w:r>
        <w:rPr>
          <w:rFonts w:eastAsiaTheme="minorEastAsia"/>
          <w:b/>
          <w:lang w:eastAsia="zh-CN"/>
        </w:rPr>
        <w:t>Also,</w:t>
      </w:r>
      <w:r w:rsidR="008F73D9">
        <w:rPr>
          <w:rFonts w:eastAsiaTheme="minorEastAsia"/>
          <w:b/>
          <w:lang w:eastAsia="zh-CN"/>
        </w:rPr>
        <w:t xml:space="preserve"> send</w:t>
      </w:r>
      <w:r w:rsidR="00484400" w:rsidRPr="00484400">
        <w:rPr>
          <w:rFonts w:eastAsiaTheme="minorEastAsia"/>
          <w:b/>
          <w:lang w:eastAsia="zh-CN"/>
        </w:rPr>
        <w:t xml:space="preserve"> a Liaison Statement to SA3 highlighting the security and privacy implications of exposing sensing results to UEs, requesting their input on whether adequate safeguards can be defined for such exposure in Rel</w:t>
      </w:r>
      <w:r w:rsidR="00484400" w:rsidRPr="00484400">
        <w:rPr>
          <w:rFonts w:eastAsiaTheme="minorEastAsia"/>
          <w:b/>
          <w:lang w:eastAsia="zh-CN"/>
        </w:rPr>
        <w:noBreakHyphen/>
        <w:t>20</w:t>
      </w:r>
      <w:r w:rsidR="001652B9">
        <w:rPr>
          <w:rFonts w:eastAsiaTheme="minorEastAsia"/>
          <w:b/>
          <w:lang w:eastAsia="zh-CN"/>
        </w:rPr>
        <w:t xml:space="preserve"> in 5GS</w:t>
      </w:r>
      <w:r w:rsidR="00484400" w:rsidRPr="00484400">
        <w:rPr>
          <w:rFonts w:eastAsiaTheme="minorEastAsia"/>
          <w:b/>
          <w:lang w:eastAsia="zh-CN"/>
        </w:rPr>
        <w:t>.</w:t>
      </w:r>
    </w:p>
    <w:p w14:paraId="3A871C6B" w14:textId="77777777" w:rsidR="003475A5" w:rsidRPr="00D74EA0" w:rsidRDefault="003475A5" w:rsidP="00D74EA0">
      <w:pPr>
        <w:rPr>
          <w:rFonts w:eastAsiaTheme="minorEastAsia"/>
          <w:b/>
          <w:lang w:eastAsia="zh-CN"/>
        </w:rPr>
      </w:pPr>
    </w:p>
    <w:sectPr w:rsidR="003475A5" w:rsidRPr="00D74EA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24A99" w14:textId="77777777" w:rsidR="00435A7B" w:rsidRDefault="00435A7B">
      <w:r>
        <w:separator/>
      </w:r>
    </w:p>
    <w:p w14:paraId="78E4B854" w14:textId="77777777" w:rsidR="00435A7B" w:rsidRDefault="00435A7B"/>
  </w:endnote>
  <w:endnote w:type="continuationSeparator" w:id="0">
    <w:p w14:paraId="4EC29EFD" w14:textId="77777777" w:rsidR="00435A7B" w:rsidRDefault="00435A7B">
      <w:r>
        <w:continuationSeparator/>
      </w:r>
    </w:p>
    <w:p w14:paraId="1B5A2302" w14:textId="77777777" w:rsidR="00435A7B" w:rsidRDefault="00435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DE53" w14:textId="77777777" w:rsidR="00435A7B" w:rsidRDefault="00435A7B">
      <w:r>
        <w:separator/>
      </w:r>
    </w:p>
    <w:p w14:paraId="0E5DFFA8" w14:textId="77777777" w:rsidR="00435A7B" w:rsidRDefault="00435A7B"/>
  </w:footnote>
  <w:footnote w:type="continuationSeparator" w:id="0">
    <w:p w14:paraId="03C2F475" w14:textId="77777777" w:rsidR="00435A7B" w:rsidRDefault="00435A7B">
      <w:r>
        <w:continuationSeparator/>
      </w:r>
    </w:p>
    <w:p w14:paraId="6928D5F0" w14:textId="77777777" w:rsidR="00435A7B" w:rsidRDefault="00435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6.5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064421">
    <w:abstractNumId w:val="25"/>
  </w:num>
  <w:num w:numId="2" w16cid:durableId="798955761">
    <w:abstractNumId w:val="16"/>
  </w:num>
  <w:num w:numId="3" w16cid:durableId="607784274">
    <w:abstractNumId w:val="11"/>
  </w:num>
  <w:num w:numId="4" w16cid:durableId="1558661676">
    <w:abstractNumId w:val="15"/>
  </w:num>
  <w:num w:numId="5" w16cid:durableId="1856577545">
    <w:abstractNumId w:val="22"/>
  </w:num>
  <w:num w:numId="6" w16cid:durableId="229122084">
    <w:abstractNumId w:val="30"/>
  </w:num>
  <w:num w:numId="7" w16cid:durableId="2094932396">
    <w:abstractNumId w:val="17"/>
  </w:num>
  <w:num w:numId="8" w16cid:durableId="1618221189">
    <w:abstractNumId w:val="21"/>
  </w:num>
  <w:num w:numId="9" w16cid:durableId="887036455">
    <w:abstractNumId w:val="29"/>
  </w:num>
  <w:num w:numId="10" w16cid:durableId="437020273">
    <w:abstractNumId w:val="31"/>
  </w:num>
  <w:num w:numId="11" w16cid:durableId="8025466">
    <w:abstractNumId w:val="18"/>
  </w:num>
  <w:num w:numId="12" w16cid:durableId="21444762">
    <w:abstractNumId w:val="10"/>
  </w:num>
  <w:num w:numId="13" w16cid:durableId="1208297195">
    <w:abstractNumId w:val="13"/>
  </w:num>
  <w:num w:numId="14" w16cid:durableId="545026956">
    <w:abstractNumId w:val="19"/>
  </w:num>
  <w:num w:numId="15" w16cid:durableId="65802948">
    <w:abstractNumId w:val="23"/>
  </w:num>
  <w:num w:numId="16" w16cid:durableId="42676809">
    <w:abstractNumId w:val="14"/>
  </w:num>
  <w:num w:numId="17" w16cid:durableId="593975750">
    <w:abstractNumId w:val="28"/>
  </w:num>
  <w:num w:numId="18" w16cid:durableId="2072147877">
    <w:abstractNumId w:val="20"/>
  </w:num>
  <w:num w:numId="19" w16cid:durableId="1427383312">
    <w:abstractNumId w:val="24"/>
  </w:num>
  <w:num w:numId="20" w16cid:durableId="1190529586">
    <w:abstractNumId w:val="26"/>
  </w:num>
  <w:num w:numId="21" w16cid:durableId="134685564">
    <w:abstractNumId w:val="12"/>
  </w:num>
  <w:num w:numId="22" w16cid:durableId="470562544">
    <w:abstractNumId w:val="9"/>
  </w:num>
  <w:num w:numId="23" w16cid:durableId="2134245497">
    <w:abstractNumId w:val="7"/>
  </w:num>
  <w:num w:numId="24" w16cid:durableId="2120296481">
    <w:abstractNumId w:val="6"/>
  </w:num>
  <w:num w:numId="25" w16cid:durableId="158620522">
    <w:abstractNumId w:val="5"/>
  </w:num>
  <w:num w:numId="26" w16cid:durableId="183518768">
    <w:abstractNumId w:val="4"/>
  </w:num>
  <w:num w:numId="27" w16cid:durableId="339434574">
    <w:abstractNumId w:val="8"/>
  </w:num>
  <w:num w:numId="28" w16cid:durableId="636644658">
    <w:abstractNumId w:val="3"/>
  </w:num>
  <w:num w:numId="29" w16cid:durableId="1460102064">
    <w:abstractNumId w:val="2"/>
  </w:num>
  <w:num w:numId="30" w16cid:durableId="1787508626">
    <w:abstractNumId w:val="1"/>
  </w:num>
  <w:num w:numId="31" w16cid:durableId="199436360">
    <w:abstractNumId w:val="0"/>
  </w:num>
  <w:num w:numId="32" w16cid:durableId="1157840009">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FBB"/>
    <w:rsid w:val="00034A2E"/>
    <w:rsid w:val="00034D60"/>
    <w:rsid w:val="0003510B"/>
    <w:rsid w:val="0003525A"/>
    <w:rsid w:val="00035537"/>
    <w:rsid w:val="00035B02"/>
    <w:rsid w:val="000363CC"/>
    <w:rsid w:val="0003663C"/>
    <w:rsid w:val="00036EC9"/>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7051"/>
    <w:rsid w:val="00047C64"/>
    <w:rsid w:val="00050317"/>
    <w:rsid w:val="00050528"/>
    <w:rsid w:val="00050A6B"/>
    <w:rsid w:val="00050C9F"/>
    <w:rsid w:val="00050D23"/>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A82"/>
    <w:rsid w:val="00090D4D"/>
    <w:rsid w:val="00090ED7"/>
    <w:rsid w:val="00091195"/>
    <w:rsid w:val="00091785"/>
    <w:rsid w:val="00091BA0"/>
    <w:rsid w:val="00091F7C"/>
    <w:rsid w:val="00092298"/>
    <w:rsid w:val="00092B1D"/>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8A0"/>
    <w:rsid w:val="000A7B9F"/>
    <w:rsid w:val="000B0BB2"/>
    <w:rsid w:val="000B0CF1"/>
    <w:rsid w:val="000B103E"/>
    <w:rsid w:val="000B131F"/>
    <w:rsid w:val="000B1493"/>
    <w:rsid w:val="000B1496"/>
    <w:rsid w:val="000B168B"/>
    <w:rsid w:val="000B1E90"/>
    <w:rsid w:val="000B225A"/>
    <w:rsid w:val="000B22D0"/>
    <w:rsid w:val="000B3DD5"/>
    <w:rsid w:val="000B4FB9"/>
    <w:rsid w:val="000B50B5"/>
    <w:rsid w:val="000B6489"/>
    <w:rsid w:val="000B6678"/>
    <w:rsid w:val="000B7277"/>
    <w:rsid w:val="000B7676"/>
    <w:rsid w:val="000B77DD"/>
    <w:rsid w:val="000B79B7"/>
    <w:rsid w:val="000B7E55"/>
    <w:rsid w:val="000C0426"/>
    <w:rsid w:val="000C0567"/>
    <w:rsid w:val="000C05C6"/>
    <w:rsid w:val="000C13A3"/>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40A1"/>
    <w:rsid w:val="000D4E22"/>
    <w:rsid w:val="000D59E4"/>
    <w:rsid w:val="000D5EAF"/>
    <w:rsid w:val="000D70EA"/>
    <w:rsid w:val="000D7368"/>
    <w:rsid w:val="000E0A21"/>
    <w:rsid w:val="000E1432"/>
    <w:rsid w:val="000E2154"/>
    <w:rsid w:val="000E308E"/>
    <w:rsid w:val="000E31A5"/>
    <w:rsid w:val="000E44F6"/>
    <w:rsid w:val="000E48CB"/>
    <w:rsid w:val="000E4D8D"/>
    <w:rsid w:val="000E4FD0"/>
    <w:rsid w:val="000E5CFC"/>
    <w:rsid w:val="000E62AD"/>
    <w:rsid w:val="000E6725"/>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0DD"/>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F2E"/>
    <w:rsid w:val="001150B2"/>
    <w:rsid w:val="001165B9"/>
    <w:rsid w:val="00116611"/>
    <w:rsid w:val="00116CB4"/>
    <w:rsid w:val="00120763"/>
    <w:rsid w:val="00120A79"/>
    <w:rsid w:val="0012113A"/>
    <w:rsid w:val="00121764"/>
    <w:rsid w:val="001218AE"/>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A58"/>
    <w:rsid w:val="00160795"/>
    <w:rsid w:val="00161001"/>
    <w:rsid w:val="001616A1"/>
    <w:rsid w:val="00161B39"/>
    <w:rsid w:val="00163C76"/>
    <w:rsid w:val="00163E01"/>
    <w:rsid w:val="001652B9"/>
    <w:rsid w:val="00165C3E"/>
    <w:rsid w:val="001673CA"/>
    <w:rsid w:val="00167AF3"/>
    <w:rsid w:val="00170A7C"/>
    <w:rsid w:val="00172EA8"/>
    <w:rsid w:val="001736B5"/>
    <w:rsid w:val="001739A1"/>
    <w:rsid w:val="00173A57"/>
    <w:rsid w:val="00173AF0"/>
    <w:rsid w:val="001742C5"/>
    <w:rsid w:val="00175083"/>
    <w:rsid w:val="001750EF"/>
    <w:rsid w:val="001758C5"/>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29DA"/>
    <w:rsid w:val="00192DB3"/>
    <w:rsid w:val="00193556"/>
    <w:rsid w:val="001936FD"/>
    <w:rsid w:val="00193C28"/>
    <w:rsid w:val="00193F1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DF7"/>
    <w:rsid w:val="001C74D2"/>
    <w:rsid w:val="001C77F4"/>
    <w:rsid w:val="001D0433"/>
    <w:rsid w:val="001D06A4"/>
    <w:rsid w:val="001D1200"/>
    <w:rsid w:val="001D1254"/>
    <w:rsid w:val="001D1FB4"/>
    <w:rsid w:val="001D2DF9"/>
    <w:rsid w:val="001D413A"/>
    <w:rsid w:val="001D4EC9"/>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0561"/>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6D8"/>
    <w:rsid w:val="00273AF8"/>
    <w:rsid w:val="00273D31"/>
    <w:rsid w:val="002740E6"/>
    <w:rsid w:val="0027499D"/>
    <w:rsid w:val="00274EB6"/>
    <w:rsid w:val="002756C1"/>
    <w:rsid w:val="00275C86"/>
    <w:rsid w:val="00275CD9"/>
    <w:rsid w:val="00275FD2"/>
    <w:rsid w:val="00276F71"/>
    <w:rsid w:val="0028020F"/>
    <w:rsid w:val="00280384"/>
    <w:rsid w:val="002804F9"/>
    <w:rsid w:val="00280862"/>
    <w:rsid w:val="00281104"/>
    <w:rsid w:val="00281F13"/>
    <w:rsid w:val="00282420"/>
    <w:rsid w:val="00282E1C"/>
    <w:rsid w:val="00284BA5"/>
    <w:rsid w:val="00284BAA"/>
    <w:rsid w:val="0028565A"/>
    <w:rsid w:val="00285692"/>
    <w:rsid w:val="00285E0B"/>
    <w:rsid w:val="00286417"/>
    <w:rsid w:val="0028702F"/>
    <w:rsid w:val="0028786F"/>
    <w:rsid w:val="00287A12"/>
    <w:rsid w:val="00287B41"/>
    <w:rsid w:val="002902D9"/>
    <w:rsid w:val="0029215D"/>
    <w:rsid w:val="00292F1D"/>
    <w:rsid w:val="002934C0"/>
    <w:rsid w:val="002943A4"/>
    <w:rsid w:val="002943E8"/>
    <w:rsid w:val="00294B58"/>
    <w:rsid w:val="002959FB"/>
    <w:rsid w:val="00295FEC"/>
    <w:rsid w:val="002962BD"/>
    <w:rsid w:val="00296416"/>
    <w:rsid w:val="0029673F"/>
    <w:rsid w:val="002967B1"/>
    <w:rsid w:val="0029697A"/>
    <w:rsid w:val="00297693"/>
    <w:rsid w:val="002977B2"/>
    <w:rsid w:val="002A05F3"/>
    <w:rsid w:val="002A062F"/>
    <w:rsid w:val="002A10EE"/>
    <w:rsid w:val="002A2633"/>
    <w:rsid w:val="002A2EA0"/>
    <w:rsid w:val="002A2F3C"/>
    <w:rsid w:val="002A3C41"/>
    <w:rsid w:val="002A432A"/>
    <w:rsid w:val="002A560E"/>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CD3"/>
    <w:rsid w:val="002C6F50"/>
    <w:rsid w:val="002C7594"/>
    <w:rsid w:val="002C7B5D"/>
    <w:rsid w:val="002C7BE7"/>
    <w:rsid w:val="002C7C57"/>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F09"/>
    <w:rsid w:val="003252F0"/>
    <w:rsid w:val="00325BE6"/>
    <w:rsid w:val="00325F0D"/>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5264"/>
    <w:rsid w:val="00346001"/>
    <w:rsid w:val="003460E5"/>
    <w:rsid w:val="003463B5"/>
    <w:rsid w:val="00346876"/>
    <w:rsid w:val="003475A5"/>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51D"/>
    <w:rsid w:val="00367599"/>
    <w:rsid w:val="0036777B"/>
    <w:rsid w:val="00367B09"/>
    <w:rsid w:val="003709FD"/>
    <w:rsid w:val="003711B4"/>
    <w:rsid w:val="0037151E"/>
    <w:rsid w:val="00371A7B"/>
    <w:rsid w:val="00371C7E"/>
    <w:rsid w:val="003729CB"/>
    <w:rsid w:val="00372C13"/>
    <w:rsid w:val="00372FE8"/>
    <w:rsid w:val="00373082"/>
    <w:rsid w:val="00374F5D"/>
    <w:rsid w:val="003757F0"/>
    <w:rsid w:val="00375AFF"/>
    <w:rsid w:val="00375C1A"/>
    <w:rsid w:val="0038035D"/>
    <w:rsid w:val="00380780"/>
    <w:rsid w:val="00380A07"/>
    <w:rsid w:val="00380A8F"/>
    <w:rsid w:val="00380E74"/>
    <w:rsid w:val="00381143"/>
    <w:rsid w:val="00381CB7"/>
    <w:rsid w:val="00383735"/>
    <w:rsid w:val="00383C98"/>
    <w:rsid w:val="00383F2D"/>
    <w:rsid w:val="003843A9"/>
    <w:rsid w:val="00384D8F"/>
    <w:rsid w:val="00384EEE"/>
    <w:rsid w:val="00385ADB"/>
    <w:rsid w:val="00385ED7"/>
    <w:rsid w:val="0038795A"/>
    <w:rsid w:val="0039096C"/>
    <w:rsid w:val="00391008"/>
    <w:rsid w:val="003915C5"/>
    <w:rsid w:val="00391898"/>
    <w:rsid w:val="00391AC4"/>
    <w:rsid w:val="00391B9A"/>
    <w:rsid w:val="0039234D"/>
    <w:rsid w:val="00392EA7"/>
    <w:rsid w:val="0039303D"/>
    <w:rsid w:val="0039351B"/>
    <w:rsid w:val="00393992"/>
    <w:rsid w:val="00393DCC"/>
    <w:rsid w:val="00393E52"/>
    <w:rsid w:val="003941FC"/>
    <w:rsid w:val="003948EF"/>
    <w:rsid w:val="00395453"/>
    <w:rsid w:val="003960DE"/>
    <w:rsid w:val="00396CFF"/>
    <w:rsid w:val="003970AD"/>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30E5"/>
    <w:rsid w:val="00434A33"/>
    <w:rsid w:val="00434A6B"/>
    <w:rsid w:val="00434BDE"/>
    <w:rsid w:val="00434E5D"/>
    <w:rsid w:val="00435A7B"/>
    <w:rsid w:val="004361FA"/>
    <w:rsid w:val="004372AA"/>
    <w:rsid w:val="00437D54"/>
    <w:rsid w:val="00440568"/>
    <w:rsid w:val="00440861"/>
    <w:rsid w:val="00440F83"/>
    <w:rsid w:val="004416C5"/>
    <w:rsid w:val="0044189F"/>
    <w:rsid w:val="00441C32"/>
    <w:rsid w:val="00441E13"/>
    <w:rsid w:val="00442E1B"/>
    <w:rsid w:val="00442F39"/>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430D"/>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6F35"/>
    <w:rsid w:val="004774B4"/>
    <w:rsid w:val="00477B1C"/>
    <w:rsid w:val="00481BF4"/>
    <w:rsid w:val="00481CD8"/>
    <w:rsid w:val="004821D9"/>
    <w:rsid w:val="0048268B"/>
    <w:rsid w:val="00482DD7"/>
    <w:rsid w:val="00482F42"/>
    <w:rsid w:val="00483322"/>
    <w:rsid w:val="00483E3C"/>
    <w:rsid w:val="00484400"/>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7B9A"/>
    <w:rsid w:val="004B08B3"/>
    <w:rsid w:val="004B1C5F"/>
    <w:rsid w:val="004B28C5"/>
    <w:rsid w:val="004B28FE"/>
    <w:rsid w:val="004B3A9A"/>
    <w:rsid w:val="004B42BE"/>
    <w:rsid w:val="004B4967"/>
    <w:rsid w:val="004B54D7"/>
    <w:rsid w:val="004B5612"/>
    <w:rsid w:val="004B58AE"/>
    <w:rsid w:val="004B5FC6"/>
    <w:rsid w:val="004B7262"/>
    <w:rsid w:val="004B7A41"/>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BC3"/>
    <w:rsid w:val="004E4DCD"/>
    <w:rsid w:val="004E59B7"/>
    <w:rsid w:val="004E5C05"/>
    <w:rsid w:val="004E5D4F"/>
    <w:rsid w:val="004E716A"/>
    <w:rsid w:val="004E7315"/>
    <w:rsid w:val="004E7558"/>
    <w:rsid w:val="004E788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D3E"/>
    <w:rsid w:val="00524FA0"/>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980"/>
    <w:rsid w:val="00541BDE"/>
    <w:rsid w:val="00541E59"/>
    <w:rsid w:val="00542DB8"/>
    <w:rsid w:val="005431D9"/>
    <w:rsid w:val="005434CD"/>
    <w:rsid w:val="00543E55"/>
    <w:rsid w:val="00543F19"/>
    <w:rsid w:val="00544322"/>
    <w:rsid w:val="0054462A"/>
    <w:rsid w:val="005446D6"/>
    <w:rsid w:val="0054498A"/>
    <w:rsid w:val="005459A8"/>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683F"/>
    <w:rsid w:val="00576C4E"/>
    <w:rsid w:val="00576F70"/>
    <w:rsid w:val="005775D5"/>
    <w:rsid w:val="0057793B"/>
    <w:rsid w:val="00577C3B"/>
    <w:rsid w:val="0058140F"/>
    <w:rsid w:val="00581C35"/>
    <w:rsid w:val="0058237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C7FD9"/>
    <w:rsid w:val="005D014E"/>
    <w:rsid w:val="005D1751"/>
    <w:rsid w:val="005D22C2"/>
    <w:rsid w:val="005D2A0C"/>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293F"/>
    <w:rsid w:val="005F302E"/>
    <w:rsid w:val="005F33AF"/>
    <w:rsid w:val="005F3633"/>
    <w:rsid w:val="005F5128"/>
    <w:rsid w:val="005F59D9"/>
    <w:rsid w:val="005F6370"/>
    <w:rsid w:val="005F698B"/>
    <w:rsid w:val="005F76E9"/>
    <w:rsid w:val="00601CC9"/>
    <w:rsid w:val="00601D87"/>
    <w:rsid w:val="0060298C"/>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697"/>
    <w:rsid w:val="00613CCC"/>
    <w:rsid w:val="006144B9"/>
    <w:rsid w:val="00614DD5"/>
    <w:rsid w:val="00615763"/>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302C0"/>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6A"/>
    <w:rsid w:val="00644664"/>
    <w:rsid w:val="00644B01"/>
    <w:rsid w:val="00645B6B"/>
    <w:rsid w:val="006460C0"/>
    <w:rsid w:val="00646281"/>
    <w:rsid w:val="006462C1"/>
    <w:rsid w:val="00647D97"/>
    <w:rsid w:val="00647E19"/>
    <w:rsid w:val="006503CB"/>
    <w:rsid w:val="00651088"/>
    <w:rsid w:val="00651BA5"/>
    <w:rsid w:val="00651D13"/>
    <w:rsid w:val="0065335C"/>
    <w:rsid w:val="0065339E"/>
    <w:rsid w:val="006534F6"/>
    <w:rsid w:val="006538D1"/>
    <w:rsid w:val="006542BF"/>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701F5"/>
    <w:rsid w:val="00670AB4"/>
    <w:rsid w:val="00670D34"/>
    <w:rsid w:val="00671D64"/>
    <w:rsid w:val="0067258E"/>
    <w:rsid w:val="00672D14"/>
    <w:rsid w:val="00673CFE"/>
    <w:rsid w:val="00674CCA"/>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5C6F"/>
    <w:rsid w:val="00696865"/>
    <w:rsid w:val="0069689F"/>
    <w:rsid w:val="0069690B"/>
    <w:rsid w:val="0069699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80"/>
    <w:rsid w:val="006B3A95"/>
    <w:rsid w:val="006B3AF9"/>
    <w:rsid w:val="006B3C39"/>
    <w:rsid w:val="006B3E5A"/>
    <w:rsid w:val="006B4823"/>
    <w:rsid w:val="006B48E8"/>
    <w:rsid w:val="006B4E63"/>
    <w:rsid w:val="006B6E2D"/>
    <w:rsid w:val="006B7B46"/>
    <w:rsid w:val="006B7C81"/>
    <w:rsid w:val="006C02F9"/>
    <w:rsid w:val="006C042F"/>
    <w:rsid w:val="006C065C"/>
    <w:rsid w:val="006C093A"/>
    <w:rsid w:val="006C0A54"/>
    <w:rsid w:val="006C11C8"/>
    <w:rsid w:val="006C1208"/>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B0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1915"/>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C4F"/>
    <w:rsid w:val="007553D3"/>
    <w:rsid w:val="00756755"/>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430"/>
    <w:rsid w:val="007A49F7"/>
    <w:rsid w:val="007A6135"/>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40D"/>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C88"/>
    <w:rsid w:val="00890F18"/>
    <w:rsid w:val="0089191A"/>
    <w:rsid w:val="00891F29"/>
    <w:rsid w:val="00892063"/>
    <w:rsid w:val="00893F00"/>
    <w:rsid w:val="008941FF"/>
    <w:rsid w:val="00895250"/>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3D9"/>
    <w:rsid w:val="008F7903"/>
    <w:rsid w:val="008F7D6D"/>
    <w:rsid w:val="0090025D"/>
    <w:rsid w:val="00900BEF"/>
    <w:rsid w:val="009015B4"/>
    <w:rsid w:val="00901851"/>
    <w:rsid w:val="00901AB8"/>
    <w:rsid w:val="00902F8F"/>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6DDF"/>
    <w:rsid w:val="00927C1B"/>
    <w:rsid w:val="00927C85"/>
    <w:rsid w:val="00930A08"/>
    <w:rsid w:val="00930E05"/>
    <w:rsid w:val="009312F0"/>
    <w:rsid w:val="00931B15"/>
    <w:rsid w:val="009326F5"/>
    <w:rsid w:val="00932A07"/>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40AA"/>
    <w:rsid w:val="00985306"/>
    <w:rsid w:val="00985B1C"/>
    <w:rsid w:val="0098614D"/>
    <w:rsid w:val="0098652B"/>
    <w:rsid w:val="00986C0C"/>
    <w:rsid w:val="00986CFF"/>
    <w:rsid w:val="009901D5"/>
    <w:rsid w:val="00990BC7"/>
    <w:rsid w:val="00990D45"/>
    <w:rsid w:val="00991147"/>
    <w:rsid w:val="00992659"/>
    <w:rsid w:val="009926E4"/>
    <w:rsid w:val="009934B9"/>
    <w:rsid w:val="00993749"/>
    <w:rsid w:val="00994AE2"/>
    <w:rsid w:val="009952E9"/>
    <w:rsid w:val="0099558D"/>
    <w:rsid w:val="00995D98"/>
    <w:rsid w:val="00995E59"/>
    <w:rsid w:val="009964C9"/>
    <w:rsid w:val="00996972"/>
    <w:rsid w:val="00997FCA"/>
    <w:rsid w:val="009A16CD"/>
    <w:rsid w:val="009A1939"/>
    <w:rsid w:val="009A1BF4"/>
    <w:rsid w:val="009A250E"/>
    <w:rsid w:val="009A365F"/>
    <w:rsid w:val="009A36B1"/>
    <w:rsid w:val="009A3774"/>
    <w:rsid w:val="009A3B67"/>
    <w:rsid w:val="009A44DE"/>
    <w:rsid w:val="009A55F9"/>
    <w:rsid w:val="009A5784"/>
    <w:rsid w:val="009A71EE"/>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12AB"/>
    <w:rsid w:val="009C14ED"/>
    <w:rsid w:val="009C1998"/>
    <w:rsid w:val="009C19BF"/>
    <w:rsid w:val="009C2D8C"/>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37BF0"/>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AAC"/>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4D69"/>
    <w:rsid w:val="00A75361"/>
    <w:rsid w:val="00A76903"/>
    <w:rsid w:val="00A7757A"/>
    <w:rsid w:val="00A77F44"/>
    <w:rsid w:val="00A8265C"/>
    <w:rsid w:val="00A82A89"/>
    <w:rsid w:val="00A8334F"/>
    <w:rsid w:val="00A83682"/>
    <w:rsid w:val="00A8447E"/>
    <w:rsid w:val="00A85921"/>
    <w:rsid w:val="00A86847"/>
    <w:rsid w:val="00A8699A"/>
    <w:rsid w:val="00A86B4F"/>
    <w:rsid w:val="00A86DE6"/>
    <w:rsid w:val="00A90D2B"/>
    <w:rsid w:val="00A9186F"/>
    <w:rsid w:val="00A9190D"/>
    <w:rsid w:val="00A927DB"/>
    <w:rsid w:val="00A92877"/>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0C19"/>
    <w:rsid w:val="00AD132D"/>
    <w:rsid w:val="00AD1948"/>
    <w:rsid w:val="00AD3A81"/>
    <w:rsid w:val="00AD442F"/>
    <w:rsid w:val="00AD4E65"/>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10464"/>
    <w:rsid w:val="00B11EFB"/>
    <w:rsid w:val="00B128D5"/>
    <w:rsid w:val="00B12E7A"/>
    <w:rsid w:val="00B14001"/>
    <w:rsid w:val="00B15CB4"/>
    <w:rsid w:val="00B15D04"/>
    <w:rsid w:val="00B1622F"/>
    <w:rsid w:val="00B164C6"/>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518"/>
    <w:rsid w:val="00B3385C"/>
    <w:rsid w:val="00B34011"/>
    <w:rsid w:val="00B343EE"/>
    <w:rsid w:val="00B346B6"/>
    <w:rsid w:val="00B34E01"/>
    <w:rsid w:val="00B3593E"/>
    <w:rsid w:val="00B3628C"/>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E96"/>
    <w:rsid w:val="00B82343"/>
    <w:rsid w:val="00B8312C"/>
    <w:rsid w:val="00B84239"/>
    <w:rsid w:val="00B84897"/>
    <w:rsid w:val="00B85847"/>
    <w:rsid w:val="00B85FE1"/>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222"/>
    <w:rsid w:val="00BC5909"/>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1816"/>
    <w:rsid w:val="00C122DA"/>
    <w:rsid w:val="00C137F5"/>
    <w:rsid w:val="00C13DBF"/>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D8A"/>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64E"/>
    <w:rsid w:val="00CA5B19"/>
    <w:rsid w:val="00CA6A05"/>
    <w:rsid w:val="00CA6A44"/>
    <w:rsid w:val="00CA7003"/>
    <w:rsid w:val="00CA76CB"/>
    <w:rsid w:val="00CA7E91"/>
    <w:rsid w:val="00CB061B"/>
    <w:rsid w:val="00CB0BCD"/>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4966"/>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1C46"/>
    <w:rsid w:val="00D02388"/>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20591"/>
    <w:rsid w:val="00D21661"/>
    <w:rsid w:val="00D21F5F"/>
    <w:rsid w:val="00D21FA0"/>
    <w:rsid w:val="00D226CE"/>
    <w:rsid w:val="00D22DC9"/>
    <w:rsid w:val="00D22E63"/>
    <w:rsid w:val="00D237E7"/>
    <w:rsid w:val="00D23C14"/>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251"/>
    <w:rsid w:val="00D710EE"/>
    <w:rsid w:val="00D7132C"/>
    <w:rsid w:val="00D71368"/>
    <w:rsid w:val="00D721A8"/>
    <w:rsid w:val="00D721F8"/>
    <w:rsid w:val="00D72284"/>
    <w:rsid w:val="00D72792"/>
    <w:rsid w:val="00D72DA7"/>
    <w:rsid w:val="00D732DF"/>
    <w:rsid w:val="00D733BE"/>
    <w:rsid w:val="00D737B3"/>
    <w:rsid w:val="00D738BB"/>
    <w:rsid w:val="00D74EA0"/>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C5D"/>
    <w:rsid w:val="00DB218A"/>
    <w:rsid w:val="00DB284E"/>
    <w:rsid w:val="00DB322D"/>
    <w:rsid w:val="00DB38B6"/>
    <w:rsid w:val="00DB42ED"/>
    <w:rsid w:val="00DB4D35"/>
    <w:rsid w:val="00DB4D97"/>
    <w:rsid w:val="00DB55DA"/>
    <w:rsid w:val="00DB5B57"/>
    <w:rsid w:val="00DB6FED"/>
    <w:rsid w:val="00DB7B52"/>
    <w:rsid w:val="00DC05E2"/>
    <w:rsid w:val="00DC0A91"/>
    <w:rsid w:val="00DC1357"/>
    <w:rsid w:val="00DC174B"/>
    <w:rsid w:val="00DC18DB"/>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B7E"/>
    <w:rsid w:val="00DE325F"/>
    <w:rsid w:val="00DE4468"/>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5514"/>
    <w:rsid w:val="00E45525"/>
    <w:rsid w:val="00E45A32"/>
    <w:rsid w:val="00E45DBC"/>
    <w:rsid w:val="00E46A90"/>
    <w:rsid w:val="00E46ECD"/>
    <w:rsid w:val="00E46FFA"/>
    <w:rsid w:val="00E47061"/>
    <w:rsid w:val="00E47632"/>
    <w:rsid w:val="00E50E46"/>
    <w:rsid w:val="00E50E82"/>
    <w:rsid w:val="00E52155"/>
    <w:rsid w:val="00E52694"/>
    <w:rsid w:val="00E52871"/>
    <w:rsid w:val="00E53EC4"/>
    <w:rsid w:val="00E5498F"/>
    <w:rsid w:val="00E54D1D"/>
    <w:rsid w:val="00E55670"/>
    <w:rsid w:val="00E55CA3"/>
    <w:rsid w:val="00E566C1"/>
    <w:rsid w:val="00E56CE6"/>
    <w:rsid w:val="00E56D33"/>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6FF"/>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B6"/>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CFD"/>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4AB1"/>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F7B"/>
    <w:rsid w:val="00FE342C"/>
    <w:rsid w:val="00FE367E"/>
    <w:rsid w:val="00FE4FE5"/>
    <w:rsid w:val="00FE60EB"/>
    <w:rsid w:val="00FE670B"/>
    <w:rsid w:val="00FE6E86"/>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717</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DOCOMO_r1</cp:lastModifiedBy>
  <cp:revision>3</cp:revision>
  <cp:lastPrinted>2018-08-13T16:59:00Z</cp:lastPrinted>
  <dcterms:created xsi:type="dcterms:W3CDTF">2025-08-14T06:19:00Z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ies>
</file>